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风险基准资本指南：新巴塞尔资本协定</w:t>
      </w:r>
    </w:p>
    <w:p>
      <w:r>
        <w:rPr>
          <w:rFonts w:ascii="宋体" w:hAnsi="宋体" w:eastAsia="宋体"/>
          <w:sz w:val="24"/>
        </w:rPr>
        <w:t>曾令宁等编著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风险基准资本指南：新巴塞尔资本协定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本书出售、求购地址：https://www.jiaokey.com/book/detail/12792200.html</w:t>
      </w:r>
    </w:p>
    <w:p>
      <w:r>
        <w:t>更多相关图书推荐：https://www.jiaokey.com</w:t>
      </w:r>
    </w:p>
    <w:p>
      <w:r>
        <w:t>曾令宁等编著 其他作品：https://www.jiaokey.com/tag/曾令宁等编著.html</w:t>
      </w:r>
    </w:p>
    <w:p>
      <w:r>
        <w:t>台湾金融研训院 出版图书：https://www.jiaokey.com/tag/台湾金融研训院.html</w:t>
      </w:r>
    </w:p>
    <w:p>
      <w:r>
        <w:t>关键词搜索：https://www.jiaokey.com/tag/风险基准资本指南：新巴塞尔资本协定.html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