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非典型劳动关系之争义问题与解决</w:t>
      </w:r>
    </w:p>
    <w:p>
      <w:r>
        <w:rPr>
          <w:rFonts w:ascii="宋体" w:hAnsi="宋体" w:eastAsia="宋体"/>
          <w:sz w:val="24"/>
        </w:rPr>
        <w:t>林炫秋等作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非典型劳动关系之争义问题与解决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林炫秋等作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台湾劳动法学会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本书出售、求购地址：https://www.jiaokey.com/book/detail/12792167.html</w:t>
      </w:r>
    </w:p>
    <w:p>
      <w:r>
        <w:t>更多相关图书推荐：https://www.jiaokey.com</w:t>
      </w:r>
    </w:p>
    <w:p>
      <w:r>
        <w:t>林炫秋等作 其他作品：https://www.jiaokey.com/tag/林炫秋等作.html</w:t>
      </w:r>
    </w:p>
    <w:p>
      <w:r>
        <w:t>台湾劳动法学会 出版图书：https://www.jiaokey.com/tag/台湾劳动法学会.html</w:t>
      </w:r>
    </w:p>
    <w:p>
      <w:r>
        <w:t>关键词搜索：https://www.jiaokey.com/tag/非典型劳动关系之争义问题与解决.html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