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两岸避税防杜法制之研析</w:t>
      </w:r>
    </w:p>
    <w:p>
      <w:r>
        <w:rPr>
          <w:rFonts w:ascii="宋体" w:hAnsi="宋体" w:eastAsia="宋体"/>
          <w:sz w:val="24"/>
        </w:rPr>
        <w:t>葛克昌，刘剑文，吴德丰主编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两岸避税防杜法制之研析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葛克昌，刘剑文，吴德丰主编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本书出售、求购地址：https://www.jiaokey.com/book/detail/12791423.html</w:t>
      </w:r>
    </w:p>
    <w:p>
      <w:r>
        <w:t>更多相关图书推荐：https://www.jiaokey.com</w:t>
      </w:r>
    </w:p>
    <w:p>
      <w:r>
        <w:t>葛克昌，刘剑文，吴德丰主编 其他作品：https://www.jiaokey.com/tag/葛克昌，刘剑文，吴德丰主编.html</w:t>
      </w:r>
    </w:p>
    <w:p>
      <w:r>
        <w:t>资诚教育基金会 出版图书：https://www.jiaokey.com/tag/资诚教育基金会.html</w:t>
      </w:r>
    </w:p>
    <w:p>
      <w:r>
        <w:t>关键词搜索：https://www.jiaokey.com/tag/两岸避税防杜法制之研析.html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