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中英文商标法施行细则暨商标规费收费准则</w:t>
      </w:r>
    </w:p>
    <w:p>
      <w:r>
        <w:rPr>
          <w:rFonts w:ascii="宋体" w:hAnsi="宋体" w:eastAsia="宋体"/>
          <w:sz w:val="24"/>
        </w:rPr>
        <w:t>经济部智慧财产局商标权组编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中英文商标法施行细则暨商标规费收费准则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经济部智慧财产局商标权组编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经济部智慧赠产局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本书出售、求购地址：https://www.jiaokey.com/book/detail/12791145.html</w:t>
      </w:r>
    </w:p>
    <w:p>
      <w:r>
        <w:t>更多相关图书推荐：https://www.jiaokey.com</w:t>
      </w:r>
    </w:p>
    <w:p>
      <w:r>
        <w:t>经济部智慧财产局商标权组编 其他作品：https://www.jiaokey.com/tag/经济部智慧财产局商标权组编.html</w:t>
      </w:r>
    </w:p>
    <w:p>
      <w:r>
        <w:t>经济部智慧赠产局 出版图书：https://www.jiaokey.com/tag/经济部智慧赠产局.html</w:t>
      </w:r>
    </w:p>
    <w:p>
      <w:r>
        <w:t>关键词搜索：https://www.jiaokey.com/tag/中英文商标法施行细则暨商标规费收费准则.html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