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国际法与近代中日台湾事件外交</w:t>
      </w:r>
    </w:p>
    <w:p>
      <w:r>
        <w:rPr>
          <w:rFonts w:ascii="宋体" w:hAnsi="宋体" w:eastAsia="宋体"/>
          <w:sz w:val="24"/>
        </w:rPr>
        <w:t>赵国辉著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国际法与近代中日台湾事件外交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本书出售、求购地址：https://www.jiaokey.com/book/detail/12790963.html</w:t>
      </w:r>
    </w:p>
    <w:p>
      <w:r>
        <w:t>更多相关图书推荐：https://www.jiaokey.com</w:t>
      </w:r>
    </w:p>
    <w:p>
      <w:r>
        <w:t>赵国辉著 其他作品：https://www.jiaokey.com/tag/赵国辉著.html</w:t>
      </w:r>
    </w:p>
    <w:p>
      <w:r>
        <w:t>海峡学术出版社 出版图书：https://www.jiaokey.com/tag/海峡学术出版社.html</w:t>
      </w:r>
    </w:p>
    <w:p>
      <w:r>
        <w:t>关键词搜索：https://www.jiaokey.com/tag/国际法与近代中日台湾事件外交.html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