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民事法理论与判决研究  1  不完全给付与瑕疵担保责任</w:t>
      </w:r>
    </w:p>
    <w:p>
      <w:r>
        <w:rPr>
          <w:rFonts w:ascii="宋体" w:hAnsi="宋体" w:eastAsia="宋体"/>
          <w:sz w:val="24"/>
        </w:rPr>
        <w:t>姚志明著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民事法理论与判决研究  1  不完全给付与瑕疵担保责任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本书出售、求购地址：https://www.jiaokey.com/book/detail/12790950.html</w:t>
      </w:r>
    </w:p>
    <w:p>
      <w:r>
        <w:t>更多相关图书推荐：https://www.jiaokey.com</w:t>
      </w:r>
    </w:p>
    <w:p>
      <w:r>
        <w:t>姚志明著 其他作品：https://www.jiaokey.com/tag/姚志明著.html</w:t>
      </w:r>
    </w:p>
    <w:p>
      <w:r>
        <w:t>元照出版公司 出版图书：https://www.jiaokey.com/tag/元照出版公司.html</w:t>
      </w:r>
    </w:p>
    <w:p>
      <w:r>
        <w:t>关键词搜索：https://www.jiaokey.com/tag/民事法理论与判决研究  1  不完全给付与瑕疵担保责任.html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