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国家发展与文官司政策  台湾经验分析  1949-1996</w:t>
      </w:r>
    </w:p>
    <w:p>
      <w:r>
        <w:rPr>
          <w:rFonts w:ascii="宋体" w:hAnsi="宋体" w:eastAsia="宋体"/>
          <w:sz w:val="24"/>
        </w:rPr>
        <w:t>江大树著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国家发展与文官司政策  台湾经验分析  1949-1996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江大树著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憬艺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本书出售、求购地址：https://www.jiaokey.com/book/detail/12790918.html</w:t>
      </w:r>
    </w:p>
    <w:p>
      <w:r>
        <w:t>更多相关图书推荐：https://www.jiaokey.com</w:t>
      </w:r>
    </w:p>
    <w:p>
      <w:r>
        <w:t>江大树著 其他作品：https://www.jiaokey.com/tag/江大树著.html</w:t>
      </w:r>
    </w:p>
    <w:p>
      <w:r>
        <w:t>憬艺 出版图书：https://www.jiaokey.com/tag/憬艺.html</w:t>
      </w:r>
    </w:p>
    <w:p>
      <w:r>
        <w:t>关键词搜索：https://www.jiaokey.com/tag/国家发展与文官司政策  台湾经验分析  1949-1996.html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