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金银及其他贵金属的选矿及冶炼</w:t>
      </w:r>
    </w:p>
    <w:p>
      <w:r>
        <w:rPr>
          <w:rFonts w:ascii="宋体" w:hAnsi="宋体" w:eastAsia="宋体"/>
          <w:sz w:val="24"/>
        </w:rPr>
        <w:t>J.T.Woodcook著；冶金工业部长沙有色冶金设计研究院译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金银及其他贵金属的选矿及冶炼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J.T.Woodcook著；冶金工业部长沙有色冶金设计研究院译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本书出售、求购地址：https://www.jiaokey.com/book/detail/12789350.html</w:t>
      </w:r>
    </w:p>
    <w:p>
      <w:r>
        <w:t>更多相关图书推荐：https://www.jiaokey.com</w:t>
      </w:r>
    </w:p>
    <w:p>
      <w:r>
        <w:t>J.T.Woodcook著；冶金工业部长沙有色冶金设计研究院译 其他作品：https://www.jiaokey.com/tag/J.T.Woodcook著；冶金工业部长沙有色冶金设计研究院译.html</w:t>
      </w:r>
    </w:p>
    <w:p>
      <w:r>
        <w:t>关键词搜索：https://www.jiaokey.com/tag/金银及其他贵金属的选矿及冶炼.html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