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《基本法》与香港特别行政区政治体制</w:t>
      </w:r>
    </w:p>
    <w:p>
      <w:r>
        <w:rPr>
          <w:rFonts w:ascii="宋体" w:hAnsi="宋体" w:eastAsia="宋体"/>
          <w:sz w:val="24"/>
        </w:rPr>
        <w:t>孙承谷著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《基本法》与香港特别行政区政治体制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世界华文出版机构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本书出售、求购地址：https://www.jiaokey.com/book/detail/12787818.html</w:t>
      </w:r>
    </w:p>
    <w:p>
      <w:r>
        <w:t>更多相关图书推荐：https://www.jiaokey.com</w:t>
      </w:r>
    </w:p>
    <w:p>
      <w:r>
        <w:t>孙承谷著 其他作品：https://www.jiaokey.com/tag/孙承谷著.html</w:t>
      </w:r>
    </w:p>
    <w:p>
      <w:r>
        <w:t>世界华文出版机构 出版图书：https://www.jiaokey.com/tag/世界华文出版机构.html</w:t>
      </w:r>
    </w:p>
    <w:p>
      <w:r>
        <w:t>关键词搜索：https://www.jiaokey.com/tag/《基本法》与香港特别行政区政治体制.html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