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后现代主义的镰刀  晚期社会主义的艺术文化</w:t>
      </w:r>
    </w:p>
    <w:p>
      <w:r>
        <w:rPr>
          <w:rFonts w:ascii="宋体" w:hAnsi="宋体" w:eastAsia="宋体"/>
          <w:sz w:val="24"/>
        </w:rPr>
        <w:t>阿雷斯·艾尔札维克编著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后现代主义的镰刀  晚期社会主义的艺术文化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阿雷斯·艾尔札维克编著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本书出售、求购地址：https://www.jiaokey.com/book/detail/12785224.html</w:t>
      </w:r>
    </w:p>
    <w:p>
      <w:r>
        <w:t>更多相关图书推荐：https://www.jiaokey.com</w:t>
      </w:r>
    </w:p>
    <w:p>
      <w:r>
        <w:t>阿雷斯·艾尔札维克编著 其他作品：https://www.jiaokey.com/tag/阿雷斯·艾尔札维克编著.html</w:t>
      </w:r>
    </w:p>
    <w:p>
      <w:r>
        <w:t>典藏艺术家庭 出版图书：https://www.jiaokey.com/tag/典藏艺术家庭.html</w:t>
      </w:r>
    </w:p>
    <w:p>
      <w:r>
        <w:t>关键词搜索：https://www.jiaokey.com/tag/后现代主义的镰刀  晚期社会主义的艺术文化.html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