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行政调查之建制与人权保障行政诉讼之前置救济方法与和程序</w:t>
      </w:r>
    </w:p>
    <w:p>
      <w:r>
        <w:rPr>
          <w:rFonts w:ascii="宋体" w:hAnsi="宋体" w:eastAsia="宋体"/>
          <w:sz w:val="24"/>
        </w:rPr>
        <w:t>台湾行政法学会主编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行政调查之建制与人权保障行政诉讼之前置救济方法与和程序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台湾行政法学会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本书出售、求购地址：https://www.jiaokey.com/book/detail/12785189.html</w:t>
      </w:r>
    </w:p>
    <w:p>
      <w:r>
        <w:t>更多相关图书推荐：https://www.jiaokey.com</w:t>
      </w:r>
    </w:p>
    <w:p>
      <w:r>
        <w:t>台湾行政法学会主编 其他作品：https://www.jiaokey.com/tag/台湾行政法学会主编.html</w:t>
      </w:r>
    </w:p>
    <w:p>
      <w:r>
        <w:t>台湾行政法学会 出版图书：https://www.jiaokey.com/tag/台湾行政法学会.html</w:t>
      </w:r>
    </w:p>
    <w:p>
      <w:r>
        <w:t>关键词搜索：https://www.jiaokey.com/tag/行政调查之建制与人权保障行政诉讼之前置救济方法与和程序.html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