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CS3实例与操作</w:t>
      </w:r>
    </w:p>
    <w:p>
      <w:r>
        <w:rPr>
          <w:rFonts w:ascii="宋体" w:hAnsi="宋体" w:eastAsia="宋体"/>
          <w:sz w:val="24"/>
        </w:rPr>
        <w:t>杨桦，臧丽娜，孙志义主编；杨忠敏，姜鹏，关方副主编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CS3实例与操作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杨桦，臧丽娜，孙志义主编；杨忠敏，姜鹏，关方副主编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本书出售、求购地址：https://www.jiaokey.com/book/detail/12779437.html</w:t>
      </w:r>
    </w:p>
    <w:p>
      <w:r>
        <w:t>更多相关图书推荐：https://www.jiaokey.com</w:t>
      </w:r>
    </w:p>
    <w:p>
      <w:r>
        <w:t>杨桦，臧丽娜，孙志义主编；杨忠敏，姜鹏，关方副主编 其他作品：https://www.jiaokey.com/tag/杨桦，臧丽娜，孙志义主编；杨忠敏，姜鹏，关方副主编.html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关键词搜索：https://www.jiaokey.com/tag/中文版Flash CS3实例与操作.html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