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网络营销原理与实务</w:t>
      </w:r>
    </w:p>
    <w:p>
      <w:r>
        <w:rPr>
          <w:rFonts w:ascii="宋体" w:hAnsi="宋体" w:eastAsia="宋体"/>
          <w:sz w:val="24"/>
        </w:rPr>
        <w:t>杨树根主编；艾曦，马红春，宋广群，吴兴华，徐剑虹副主编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杨树根主编；艾曦，马红春，宋广群，吴兴华，徐剑虹副主编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本书出售、求购地址：https://www.jiaokey.com/book/detail/12779403.html</w:t>
      </w:r>
    </w:p>
    <w:p>
      <w:r>
        <w:t>更多相关图书推荐：https://www.jiaokey.com</w:t>
      </w:r>
    </w:p>
    <w:p>
      <w:r>
        <w:t>杨树根主编；艾曦，马红春，宋广群，吴兴华，徐剑虹副主编 其他作品：https://www.jiaokey.com/tag/杨树根主编；艾曦，马红春，宋广群，吴兴华，徐剑虹副主编.html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关键词搜索：https://www.jiaokey.com/tag/电子商务-市场营销学-高等学校：技术学校-教材.html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