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甲编  商至南北朝</w:t>
      </w:r>
    </w:p>
    <w:p>
      <w:r>
        <w:rPr>
          <w:rFonts w:ascii="宋体" w:hAnsi="宋体" w:eastAsia="宋体"/>
          <w:sz w:val="24"/>
        </w:rPr>
        <w:t>丁本光编著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甲编  商至南北朝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本书出售、求购地址：https://www.jiaokey.com/book/detail/12777807.html</w:t>
      </w:r>
    </w:p>
    <w:p>
      <w:r>
        <w:t>更多相关图书推荐：https://www.jiaokey.com</w:t>
      </w:r>
    </w:p>
    <w:p>
      <w:r>
        <w:t>丁本光编著 其他作品：https://www.jiaokey.com/tag/丁本光编著.html</w:t>
      </w:r>
    </w:p>
    <w:p>
      <w:r>
        <w:t>青木出版印刷公司 出版图书：https://www.jiaokey.com/tag/青木出版印刷公司.html</w:t>
      </w:r>
    </w:p>
    <w:p>
      <w:r>
        <w:t>关键词搜索：https://www.jiaokey.com/tag/中国通史纲要  甲编  商至南北朝.html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