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模糊数学与模糊识别</w:t>
      </w:r>
    </w:p>
    <w:p>
      <w:r>
        <w:rPr>
          <w:rFonts w:ascii="宋体" w:hAnsi="宋体" w:eastAsia="宋体"/>
          <w:sz w:val="24"/>
        </w:rPr>
        <w:t>成都电讯工程学院应用物理研究所编著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模糊数学与模糊识别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成都电讯工程学院应用物理研究所编著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电讯工程学院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本书出售、求购地址：https://www.jiaokey.com/book/detail/12777754.html</w:t>
      </w:r>
    </w:p>
    <w:p>
      <w:r>
        <w:t>更多相关图书推荐：https://www.jiaokey.com</w:t>
      </w:r>
    </w:p>
    <w:p>
      <w:r>
        <w:t>成都电讯工程学院应用物理研究所编著 其他作品：https://www.jiaokey.com/tag/成都电讯工程学院应用物理研究所编著.html</w:t>
      </w:r>
    </w:p>
    <w:p>
      <w:r>
        <w:t>电讯工程学院 出版图书：https://www.jiaokey.com/tag/电讯工程学院.html</w:t>
      </w:r>
    </w:p>
    <w:p>
      <w:r>
        <w:t>关键词搜索：https://www.jiaokey.com/tag/模糊数学与模糊识别.html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