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最高人民法院民事案件案由规定理解与适用  2011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最高人民法院民事案件案由规定理解与适用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本书出售、求购地址：https://www.jiaokey.com/book/detail/12777308.html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关键词搜索：https://www.jiaokey.com/tag/最高人民法院民事案件案由规定理解与适用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