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天气图分析  常见错误图例</w:t>
      </w:r>
    </w:p>
    <w:p>
      <w:r>
        <w:rPr>
          <w:rFonts w:ascii="宋体" w:hAnsi="宋体" w:eastAsia="宋体"/>
          <w:sz w:val="24"/>
        </w:rPr>
        <w:t>姜良璞，洪仁宗主编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天气图分析  常见错误图例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姜良璞，洪仁宗主编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本书出售、求购地址：https://www.jiaokey.com/book/detail/12777263.html</w:t>
      </w:r>
    </w:p>
    <w:p>
      <w:r>
        <w:t>更多相关图书推荐：https://www.jiaokey.com</w:t>
      </w:r>
    </w:p>
    <w:p>
      <w:r>
        <w:t>姜良璞，洪仁宗主编 其他作品：https://www.jiaokey.com/tag/姜良璞，洪仁宗主编.html</w:t>
      </w:r>
    </w:p>
    <w:p>
      <w:r>
        <w:t>关键词搜索：https://www.jiaokey.com/tag/天气图分析  常见错误图例.html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