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第三角法板金展开图法</w:t>
      </w:r>
    </w:p>
    <w:p>
      <w:r>
        <w:rPr>
          <w:rFonts w:ascii="宋体" w:hAnsi="宋体" w:eastAsia="宋体"/>
          <w:sz w:val="24"/>
        </w:rPr>
        <w:t>原正敏著；叶朝苍编译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第三角法板金展开图法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原正敏著；叶朝苍编译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本书出售、求购地址：https://www.jiaokey.com/book/detail/12776520.html</w:t>
      </w:r>
    </w:p>
    <w:p>
      <w:r>
        <w:t>更多相关图书推荐：https://www.jiaokey.com</w:t>
      </w:r>
    </w:p>
    <w:p>
      <w:r>
        <w:t>原正敏著；叶朝苍编译 其他作品：https://www.jiaokey.com/tag/原正敏著；叶朝苍编译.html</w:t>
      </w:r>
    </w:p>
    <w:p>
      <w:r>
        <w:t>大众书局 出版图书：https://www.jiaokey.com/tag/大众书局.html</w:t>
      </w:r>
    </w:p>
    <w:p>
      <w:r>
        <w:t>关键词搜索：https://www.jiaokey.com/tag/第三角法板金展开图法.html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