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百草竟翠</w:t>
      </w:r>
    </w:p>
    <w:p>
      <w:r>
        <w:rPr>
          <w:rFonts w:ascii="宋体" w:hAnsi="宋体" w:eastAsia="宋体"/>
          <w:sz w:val="24"/>
        </w:rPr>
        <w:t>陈明，彭福和，彭东明主编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百草竟翠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陈明，彭福和，彭东明主编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本书出售、求购地址：https://www.jiaokey.com/book/detail/12770263.html</w:t>
      </w:r>
    </w:p>
    <w:p>
      <w:r>
        <w:t>更多相关图书推荐：https://www.jiaokey.com</w:t>
      </w:r>
    </w:p>
    <w:p>
      <w:r>
        <w:t>陈明，彭福和，彭东明主编 其他作品：https://www.jiaokey.com/tag/陈明，彭福和，彭东明主编.html</w:t>
      </w:r>
    </w:p>
    <w:p>
      <w:r>
        <w:t>广州:广东旅游出版社,2004.12 出版图书：https://www.jiaokey.com/tag/广州:广东旅游出版社,2004.12.html</w:t>
      </w:r>
    </w:p>
    <w:p>
      <w:r>
        <w:t>关键词搜索：https://www.jiaokey.com/tag/百草竟翠.html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