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环境设计的方法</w:t>
      </w:r>
    </w:p>
    <w:p>
      <w:r>
        <w:rPr>
          <w:rFonts w:ascii="宋体" w:hAnsi="宋体" w:eastAsia="宋体"/>
          <w:sz w:val="24"/>
        </w:rPr>
        <w:t>仙田满原著；杨雅玲译者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仙田满原著；杨雅玲译者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本书出售、求购地址：https://www.jiaokey.com/book/detail/12765556.html</w:t>
      </w:r>
    </w:p>
    <w:p>
      <w:r>
        <w:t>更多相关图书推荐：https://www.jiaokey.com</w:t>
      </w:r>
    </w:p>
    <w:p>
      <w:r>
        <w:t>仙田满原著；杨雅玲译者 其他作品：https://www.jiaokey.com/tag/仙田满原著；杨雅玲译者.html</w:t>
      </w:r>
    </w:p>
    <w:p>
      <w:r>
        <w:t>六合出版社 出版图书：https://www.jiaokey.com/tag/六合出版社.html</w:t>
      </w:r>
    </w:p>
    <w:p>
      <w:r>
        <w:t>关键词搜索：https://www.jiaokey.com/tag/环境设计的方法.html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