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泵浦入门  使用构造·保养原理</w:t>
      </w:r>
    </w:p>
    <w:p>
      <w:r>
        <w:rPr>
          <w:rFonts w:ascii="宋体" w:hAnsi="宋体" w:eastAsia="宋体"/>
          <w:sz w:val="24"/>
        </w:rPr>
        <w:t>小野高麻吕著；何学文译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泵浦入门  使用构造·保养原理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小野高麻吕著；何学文译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本书出售、求购地址：https://www.jiaokey.com/book/detail/12765510.html</w:t>
      </w:r>
    </w:p>
    <w:p>
      <w:r>
        <w:t>更多相关图书推荐：https://www.jiaokey.com</w:t>
      </w:r>
    </w:p>
    <w:p>
      <w:r>
        <w:t>小野高麻吕著；何学文译 其他作品：https://www.jiaokey.com/tag/小野高麻吕著；何学文译.html</w:t>
      </w:r>
    </w:p>
    <w:p>
      <w:r>
        <w:t>正言出版社 出版图书：https://www.jiaokey.com/tag/正言出版社.html</w:t>
      </w:r>
    </w:p>
    <w:p>
      <w:r>
        <w:t>关键词搜索：https://www.jiaokey.com/tag/泵浦入门  使用构造·保养原理.html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