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超越党籍、省籍与国籍  傅正与战后台湾民主运动</w:t>
      </w:r>
    </w:p>
    <w:p>
      <w:r>
        <w:rPr>
          <w:rFonts w:ascii="宋体" w:hAnsi="宋体" w:eastAsia="宋体"/>
          <w:sz w:val="24"/>
        </w:rPr>
        <w:t>苏瑞锵著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超越党籍、省籍与国籍  傅正与战后台湾民主运动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苏瑞锵著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本书出售、求购地址：https://www.jiaokey.com/book/detail/12752539.html</w:t>
      </w:r>
    </w:p>
    <w:p>
      <w:r>
        <w:t>更多相关图书推荐：https://www.jiaokey.com</w:t>
      </w:r>
    </w:p>
    <w:p>
      <w:r>
        <w:t>苏瑞锵著 其他作品：https://www.jiaokey.com/tag/苏瑞锵著.html</w:t>
      </w:r>
    </w:p>
    <w:p>
      <w:r>
        <w:t>前卫出版社 出版图书：https://www.jiaokey.com/tag/前卫出版社.html</w:t>
      </w:r>
    </w:p>
    <w:p>
      <w:r>
        <w:t>关键词搜索：https://www.jiaokey.com/tag/超越党籍、省籍与国籍  傅正与战后台湾民主运动.html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