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毛纺织部分  毛针织</w:t>
      </w:r>
    </w:p>
    <w:p>
      <w:r>
        <w:rPr>
          <w:rFonts w:ascii="宋体" w:hAnsi="宋体" w:eastAsia="宋体"/>
          <w:sz w:val="24"/>
        </w:rPr>
        <w:t>中华人民共和国纺织工业部制定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毛纺织部分  毛针织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本书出售、求购地址：https://www.jiaokey.com/book/detail/12751619.html</w:t>
      </w:r>
    </w:p>
    <w:p>
      <w:r>
        <w:t>更多相关图书推荐：https://www.jiaokey.com</w:t>
      </w:r>
    </w:p>
    <w:p>
      <w:r>
        <w:t>中华人民共和国纺织工业部制定 其他作品：https://www.jiaokey.com/tag/中华人民共和国纺织工业部制定.html</w:t>
      </w:r>
    </w:p>
    <w:p>
      <w:r>
        <w:t>纺织工业出版社 出版图书：https://www.jiaokey.com/tag/纺织工业出版社.html</w:t>
      </w:r>
    </w:p>
    <w:p>
      <w:r>
        <w:t>关键词搜索：https://www.jiaokey.com/tag/纺织工业企业设备管理制度  毛纺织部分  毛针织.html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