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台湾新生代视野  当代的民间文化观照</w:t>
      </w:r>
    </w:p>
    <w:p>
      <w:r>
        <w:rPr>
          <w:rFonts w:ascii="宋体" w:hAnsi="宋体" w:eastAsia="宋体"/>
          <w:sz w:val="24"/>
        </w:rPr>
        <w:t>国立彰化师范大学国文学系暨台湾文学研究所主办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台湾新生代视野  当代的民间文化观照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国立彰化师范大学国文学系暨台湾文学研究所主办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本书出售、求购地址：https://www.jiaokey.com/book/detail/12751443.html</w:t>
      </w:r>
    </w:p>
    <w:p>
      <w:r>
        <w:t>更多相关图书推荐：https://www.jiaokey.com</w:t>
      </w:r>
    </w:p>
    <w:p>
      <w:r>
        <w:t>国立彰化师范大学国文学系暨台湾文学研究所主办 其他作品：https://www.jiaokey.com/tag/国立彰化师范大学国文学系暨台湾文学研究所主办.html</w:t>
      </w:r>
    </w:p>
    <w:p>
      <w:r>
        <w:t>里仁书局 出版图书：https://www.jiaokey.com/tag/里仁书局.html</w:t>
      </w:r>
    </w:p>
    <w:p>
      <w:r>
        <w:t>关键词搜索：https://www.jiaokey.com/tag/台湾新生代视野  当代的民间文化观照.html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