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闵南民系与文化</w:t>
      </w:r>
    </w:p>
    <w:p>
      <w:r>
        <w:rPr>
          <w:rFonts w:ascii="宋体" w:hAnsi="宋体" w:eastAsia="宋体"/>
          <w:sz w:val="24"/>
        </w:rPr>
        <w:t>陈耕，杨浩存，黄振良合著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闵南民系与文化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陈耕，杨浩存，黄振良合著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金门县文化局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本书出售、求购地址：https://www.jiaokey.com/book/detail/12751426.html</w:t>
      </w:r>
    </w:p>
    <w:p>
      <w:r>
        <w:t>更多相关图书推荐：https://www.jiaokey.com</w:t>
      </w:r>
    </w:p>
    <w:p>
      <w:r>
        <w:t>陈耕，杨浩存，黄振良合著 其他作品：https://www.jiaokey.com/tag/陈耕，杨浩存，黄振良合著.html</w:t>
      </w:r>
    </w:p>
    <w:p>
      <w:r>
        <w:t>金门县文化局 出版图书：https://www.jiaokey.com/tag/金门县文化局.html</w:t>
      </w:r>
    </w:p>
    <w:p>
      <w:r>
        <w:t>关键词搜索：https://www.jiaokey.com/tag/闵南民系与文化.html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