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银行业反洗钱机制研究  约束条件下激励机制框架的构建</w:t>
      </w:r>
    </w:p>
    <w:p>
      <w:r>
        <w:rPr>
          <w:rFonts w:ascii="宋体" w:hAnsi="宋体" w:eastAsia="宋体"/>
          <w:sz w:val="24"/>
        </w:rPr>
        <w:t>严立新著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银行业反洗钱机制研究  约束条件下激励机制框架的构建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本书出售、求购地址：https://www.jiaokey.com/book/detail/12750910.html</w:t>
      </w:r>
    </w:p>
    <w:p>
      <w:r>
        <w:t>更多相关图书推荐：https://www.jiaokey.com</w:t>
      </w:r>
    </w:p>
    <w:p>
      <w:r>
        <w:t>严立新著 其他作品：https://www.jiaokey.com/tag/严立新著.html</w:t>
      </w:r>
    </w:p>
    <w:p>
      <w:r>
        <w:t>关键词搜索：https://www.jiaokey.com/tag/银行业反洗钱机制研究  约束条件下激励机制框架的构建.html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