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亚洲未来冲击  未来30年亚洲新商机</w:t>
      </w:r>
    </w:p>
    <w:p>
      <w:r>
        <w:rPr>
          <w:rFonts w:ascii="宋体" w:hAnsi="宋体" w:eastAsia="宋体"/>
          <w:sz w:val="24"/>
        </w:rPr>
        <w:t>麦克·贝克曼著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亚洲未来冲击  未来30年亚洲新商机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麦克·贝克曼著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财信出版有限公司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本书出售、求购地址：https://www.jiaokey.com/book/detail/12750163.html</w:t>
      </w:r>
    </w:p>
    <w:p>
      <w:r>
        <w:t>更多相关图书推荐：https://www.jiaokey.com</w:t>
      </w:r>
    </w:p>
    <w:p>
      <w:r>
        <w:t>麦克·贝克曼著 其他作品：https://www.jiaokey.com/tag/麦克·贝克曼著.html</w:t>
      </w:r>
    </w:p>
    <w:p>
      <w:r>
        <w:t>财信出版有限公司 出版图书：https://www.jiaokey.com/tag/财信出版有限公司.html</w:t>
      </w:r>
    </w:p>
    <w:p>
      <w:r>
        <w:t>关键词搜索：https://www.jiaokey.com/tag/亚洲未来冲击  未来30年亚洲新商机.html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