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欧洲发展报告  2010-2011，《里斯本条约》与欧盟的未来</w:t>
      </w:r>
    </w:p>
    <w:p>
      <w:r>
        <w:rPr>
          <w:rFonts w:ascii="宋体" w:hAnsi="宋体" w:eastAsia="宋体"/>
          <w:sz w:val="24"/>
        </w:rPr>
        <w:t>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欧洲发展报告  2010-2011，《里斯本条约》与欧盟的未来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本书出售、求购地址：https://www.jiaokey.com/book/detail/12749684.html</w:t>
      </w:r>
    </w:p>
    <w:p>
      <w:r>
        <w:t>更多相关图书推荐：https://www.jiaokey.com</w:t>
      </w:r>
    </w:p>
    <w:p>
      <w:r>
        <w:t>周弘主编 其他作品：https://www.jiaokey.com/tag/周弘主编.html</w:t>
      </w:r>
    </w:p>
    <w:p>
      <w:r>
        <w:t>关键词搜索：https://www.jiaokey.com/tag/欧洲发展报告  2010-2011，《里斯本条约》与欧盟的未来.html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