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国学三宝一百讲  三十六计解读</w:t>
      </w:r>
    </w:p>
    <w:p>
      <w:r>
        <w:rPr>
          <w:rFonts w:ascii="宋体" w:hAnsi="宋体" w:eastAsia="宋体"/>
          <w:sz w:val="24"/>
        </w:rPr>
        <w:t>吴满珍，雷雪峰，李海明编著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国学三宝一百讲  三十六计解读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吴满珍，雷雪峰，李海明编著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本书出售、求购地址：https://www.jiaokey.com/book/detail/12748463.html</w:t>
      </w:r>
    </w:p>
    <w:p>
      <w:r>
        <w:t>更多相关图书推荐：https://www.jiaokey.com</w:t>
      </w:r>
    </w:p>
    <w:p>
      <w:r>
        <w:t>吴满珍，雷雪峰，李海明编著 其他作品：https://www.jiaokey.com/tag/吴满珍，雷雪峰，李海明编著.html</w:t>
      </w:r>
    </w:p>
    <w:p>
      <w:r>
        <w:t>武汉：湖北人民出版社 出版图书：https://www.jiaokey.com/tag/武汉：湖北人民出版社.html</w:t>
      </w:r>
    </w:p>
    <w:p>
      <w:r>
        <w:t>关键词搜索：https://www.jiaokey.com/tag/国学三宝一百讲  三十六计解读.html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