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美术馆  当代艺术的理论与中国语境  总第17期  2009年B辑</w:t>
      </w:r>
    </w:p>
    <w:p>
      <w:r>
        <w:rPr>
          <w:rFonts w:ascii="宋体" w:hAnsi="宋体" w:eastAsia="宋体"/>
          <w:sz w:val="24"/>
        </w:rPr>
        <w:t>罗一平主编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美术馆  当代艺术的理论与中国语境  总第17期  2009年B辑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本书出售、求购地址：https://www.jiaokey.com/book/detail/12747950.html</w:t>
      </w:r>
    </w:p>
    <w:p>
      <w:r>
        <w:t>更多相关图书推荐：https://www.jiaokey.com</w:t>
      </w:r>
    </w:p>
    <w:p>
      <w:r>
        <w:t>罗一平主编 其他作品：https://www.jiaokey.com/tag/罗一平主编.html</w:t>
      </w:r>
    </w:p>
    <w:p>
      <w:r>
        <w:t>关键词搜索：https://www.jiaokey.com/tag/美术馆  当代艺术的理论与中国语境  总第17期  2009年B辑.html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