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快乐结局，  新模式  落实社会保险行政救济</w:t>
      </w:r>
    </w:p>
    <w:p>
      <w:r>
        <w:rPr>
          <w:rFonts w:ascii="宋体" w:hAnsi="宋体" w:eastAsia="宋体"/>
          <w:sz w:val="24"/>
        </w:rPr>
        <w:t>苏诏勤编著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快乐结局，  新模式  落实社会保险行政救济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苏诏勤编著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本书出售、求购地址：https://www.jiaokey.com/book/detail/12745541.html</w:t>
      </w:r>
    </w:p>
    <w:p>
      <w:r>
        <w:t>更多相关图书推荐：https://www.jiaokey.com</w:t>
      </w:r>
    </w:p>
    <w:p>
      <w:r>
        <w:t>苏诏勤编著 其他作品：https://www.jiaokey.com/tag/苏诏勤编著.html</w:t>
      </w:r>
    </w:p>
    <w:p>
      <w:r>
        <w:t>先知出版社 出版图书：https://www.jiaokey.com/tag/先知出版社.html</w:t>
      </w:r>
    </w:p>
    <w:p>
      <w:r>
        <w:t>关键词搜索：https://www.jiaokey.com/tag/快乐结局，  新模式  落实社会保险行政救济.html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