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珠海经济特区好</w:t>
      </w:r>
    </w:p>
    <w:p>
      <w:r>
        <w:rPr>
          <w:rFonts w:ascii="宋体" w:hAnsi="宋体" w:eastAsia="宋体"/>
          <w:sz w:val="24"/>
        </w:rPr>
        <w:t>周叔莲，卢国英主编；中国马克思主义研究基金会珠海经济特区调研团编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珠海经济特区好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周叔莲，卢国英主编；中国马克思主义研究基金会珠海经济特区调研团编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本书出售、求购地址：https://www.jiaokey.com/book/detail/12740869.html</w:t>
      </w:r>
    </w:p>
    <w:p>
      <w:r>
        <w:t>更多相关图书推荐：https://www.jiaokey.com</w:t>
      </w:r>
    </w:p>
    <w:p>
      <w:r>
        <w:t>周叔莲，卢国英主编；中国马克思主义研究基金会珠海经济特区调研团编 其他作品：https://www.jiaokey.com/tag/周叔莲，卢国英主编；中国马克思主义研究基金会珠海经济特区调研团编.html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关键词搜索：https://www.jiaokey.com/tag/珠海经济特区好.html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