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商业管理原理</w:t>
      </w:r>
    </w:p>
    <w:p>
      <w:r>
        <w:rPr>
          <w:rFonts w:ascii="宋体" w:hAnsi="宋体" w:eastAsia="宋体"/>
          <w:sz w:val="24"/>
        </w:rPr>
        <w:t>（苏）格·什·舒勃拉杰著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（苏）格·什·舒勃拉杰著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本书出售、求购地址：https://www.jiaokey.com/book/detail/12738305.html</w:t>
      </w:r>
    </w:p>
    <w:p>
      <w:r>
        <w:t>更多相关图书推荐：https://www.jiaokey.com</w:t>
      </w:r>
    </w:p>
    <w:p>
      <w:r>
        <w:t>（苏）格·什·舒勃拉杰著 其他作品：https://www.jiaokey.com/tag/（苏）格·什·舒勃拉杰著.html</w:t>
      </w:r>
    </w:p>
    <w:p>
      <w:r>
        <w:t>黑龙江商业经济学会 出版图书：https://www.jiaokey.com/tag/黑龙江商业经济学会.html</w:t>
      </w:r>
    </w:p>
    <w:p>
      <w:r>
        <w:t>关键词搜索：https://www.jiaokey.com/tag/商业管理原理.html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