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邓小平二十八年间</w:t>
      </w:r>
    </w:p>
    <w:p>
      <w:r>
        <w:rPr>
          <w:rFonts w:ascii="宋体" w:hAnsi="宋体" w:eastAsia="宋体"/>
          <w:sz w:val="24"/>
        </w:rPr>
        <w:t>《学习》杂志编辑部组稿；杨国宇，陈斐琴，王传洪编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邓小平二十八年间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《学习》杂志编辑部组稿；杨国宇，陈斐琴，王传洪编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本书出售、求购地址：https://www.jiaokey.com/book/detail/12731072.html</w:t>
      </w:r>
    </w:p>
    <w:p>
      <w:r>
        <w:t>更多相关图书推荐：https://www.jiaokey.com</w:t>
      </w:r>
    </w:p>
    <w:p>
      <w:r>
        <w:t>《学习》杂志编辑部组稿；杨国宇，陈斐琴，王传洪编 其他作品：https://www.jiaokey.com/tag/《学习》杂志编辑部组稿；杨国宇，陈斐琴，王传洪编.html</w:t>
      </w:r>
    </w:p>
    <w:p>
      <w:r>
        <w:t>关键词搜索：https://www.jiaokey.com/tag/邓小平二十八年间.html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