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感性消费·理性消费－掌握消费市场的动向</w:t>
      </w:r>
    </w:p>
    <w:p>
      <w:r>
        <w:rPr>
          <w:rFonts w:ascii="宋体" w:hAnsi="宋体" w:eastAsia="宋体"/>
          <w:sz w:val="24"/>
        </w:rPr>
        <w:t>林敏生编译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感性消费·理性消费－掌握消费市场的动向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林敏生编译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本书出售、求购地址：https://www.jiaokey.com/book/detail/12727979.html</w:t>
      </w:r>
    </w:p>
    <w:p>
      <w:r>
        <w:t>更多相关图书推荐：https://www.jiaokey.com</w:t>
      </w:r>
    </w:p>
    <w:p>
      <w:r>
        <w:t>林敏生编译 其他作品：https://www.jiaokey.com/tag/林敏生编译.html</w:t>
      </w:r>
    </w:p>
    <w:p>
      <w:r>
        <w:t>关键词搜索：https://www.jiaokey.com/tag/感性消费·理性消费－掌握消费市场的动向.html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