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中国经济与资源管理研究报告2010  国际金融危机下的中国经济发展</w:t>
      </w:r>
    </w:p>
    <w:p>
      <w:r>
        <w:rPr>
          <w:rFonts w:ascii="宋体" w:hAnsi="宋体" w:eastAsia="宋体"/>
          <w:sz w:val="24"/>
        </w:rPr>
        <w:t>李晓西等著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中国经济与资源管理研究报告2010  国际金融危机下的中国经济发展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本书出售、求购地址：https://www.jiaokey.com/book/detail/12725398.html</w:t>
      </w:r>
    </w:p>
    <w:p>
      <w:r>
        <w:t>更多相关图书推荐：https://www.jiaokey.com</w:t>
      </w:r>
    </w:p>
    <w:p>
      <w:r>
        <w:t>李晓西等著 其他作品：https://www.jiaokey.com/tag/李晓西等著.html</w:t>
      </w:r>
    </w:p>
    <w:p>
      <w:r>
        <w:t>关键词搜索：https://www.jiaokey.com/tag/中国经济与资源管理研究报告2010  国际金融危机下的中国经济发展.html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