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神圣与世俗的二维建构  托马斯法哲学思想研究</w:t>
      </w:r>
    </w:p>
    <w:p>
      <w:r>
        <w:rPr>
          <w:rFonts w:ascii="宋体" w:hAnsi="宋体" w:eastAsia="宋体"/>
          <w:sz w:val="24"/>
        </w:rPr>
        <w:t>卢传斌著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神圣与世俗的二维建构  托马斯法哲学思想研究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本书出售、求购地址：https://www.jiaokey.com/book/detail/12723138.html</w:t>
      </w:r>
    </w:p>
    <w:p>
      <w:r>
        <w:t>更多相关图书推荐：https://www.jiaokey.com</w:t>
      </w:r>
    </w:p>
    <w:p>
      <w:r>
        <w:t>卢传斌著 其他作品：https://www.jiaokey.com/tag/卢传斌著.html</w:t>
      </w:r>
    </w:p>
    <w:p>
      <w:r>
        <w:t>南京市：南京师范大学出版社 出版图书：https://www.jiaokey.com/tag/南京市：南京师范大学出版社.html</w:t>
      </w:r>
    </w:p>
    <w:p>
      <w:r>
        <w:t>关键词搜索：https://www.jiaokey.com/tag/神圣与世俗的二维建构  托马斯法哲学思想研究.html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