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第7章</w:t>
      </w:r>
    </w:p>
    <w:p>
      <w:r>
        <w:rPr>
          <w:rFonts w:ascii="宋体" w:hAnsi="宋体" w:eastAsia="宋体"/>
          <w:sz w:val="24"/>
        </w:rPr>
        <w:t>（苏）维·米·斯特列里尼科夫讲稿；复旦大学马克思列宁主义基础教研组译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（苏）维·米·斯特列里尼科夫讲稿；复旦大学马克思列宁主义基础教研组译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本书出售、求购地址：https://www.jiaokey.com/book/detail/12722174.html</w:t>
      </w:r>
    </w:p>
    <w:p>
      <w:r>
        <w:t>更多相关图书推荐：https://www.jiaokey.com</w:t>
      </w:r>
    </w:p>
    <w:p>
      <w:r>
        <w:t>（苏）维·米·斯特列里尼科夫讲稿；复旦大学马克思列宁主义基础教研组译 其他作品：https://www.jiaokey.com/tag/（苏）维·米·斯特列里尼科夫讲稿；复旦大学马克思列宁主义基础教研组译.html</w:t>
      </w:r>
    </w:p>
    <w:p>
      <w:r>
        <w:t>关键词搜索：https://www.jiaokey.com/tag/马克思列宁主义基础  第7章.html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