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仓颉输入拆码《随手查》精装集</w:t>
      </w:r>
    </w:p>
    <w:p>
      <w:r>
        <w:rPr>
          <w:rFonts w:ascii="宋体" w:hAnsi="宋体" w:eastAsia="宋体"/>
          <w:sz w:val="24"/>
        </w:rPr>
        <w:t>哲也研究室编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仓颉输入拆码《随手查》精装集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哲也研究室编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再生出版社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本书出售、求购地址：https://www.jiaokey.com/book/detail/12716998.html</w:t>
      </w:r>
    </w:p>
    <w:p>
      <w:r>
        <w:t>更多相关图书推荐：https://www.jiaokey.com</w:t>
      </w:r>
    </w:p>
    <w:p>
      <w:r>
        <w:t>哲也研究室编 其他作品：https://www.jiaokey.com/tag/哲也研究室编.html</w:t>
      </w:r>
    </w:p>
    <w:p>
      <w:r>
        <w:t>再生出版社 出版图书：https://www.jiaokey.com/tag/再生出版社.html</w:t>
      </w:r>
    </w:p>
    <w:p>
      <w:r>
        <w:t>关键词搜索：https://www.jiaokey.com/tag/仓颉输入拆码《随手查》精装集.html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