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全球化下中西文化的交流：回顾与前瞻</w:t>
      </w:r>
    </w:p>
    <w:p>
      <w:r>
        <w:rPr>
          <w:rFonts w:ascii="宋体" w:hAnsi="宋体" w:eastAsia="宋体"/>
          <w:sz w:val="24"/>
        </w:rPr>
        <w:t>梁伯华著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全球化下中西文化的交流：回顾与前瞻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本书出售、求购地址：https://www.jiaokey.com/book/detail/12712013.html</w:t>
      </w:r>
    </w:p>
    <w:p>
      <w:r>
        <w:t>更多相关图书推荐：https://www.jiaokey.com</w:t>
      </w:r>
    </w:p>
    <w:p>
      <w:r>
        <w:t>梁伯华著 其他作品：https://www.jiaokey.com/tag/梁伯华著.html</w:t>
      </w:r>
    </w:p>
    <w:p>
      <w:r>
        <w:t>澳门理工学院 出版图书：https://www.jiaokey.com/tag/澳门理工学院.html</w:t>
      </w:r>
    </w:p>
    <w:p>
      <w:r>
        <w:t>关键词搜索：https://www.jiaokey.com/tag/全球化下中西文化的交流：回顾与前瞻.html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