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海南建省办经济特区20年纪事  1988.4-2008.4</w:t>
      </w:r>
    </w:p>
    <w:p>
      <w:r>
        <w:rPr>
          <w:rFonts w:ascii="宋体" w:hAnsi="宋体" w:eastAsia="宋体"/>
          <w:sz w:val="24"/>
        </w:rPr>
        <w:t>梁振球编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海南建省办经济特区20年纪事  1988.4-2008.4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本书出售、求购地址：https://www.jiaokey.com/book/detail/12708165.html</w:t>
      </w:r>
    </w:p>
    <w:p>
      <w:r>
        <w:t>更多相关图书推荐：https://www.jiaokey.com</w:t>
      </w:r>
    </w:p>
    <w:p>
      <w:r>
        <w:t>梁振球编 其他作品：https://www.jiaokey.com/tag/梁振球编.html</w:t>
      </w:r>
    </w:p>
    <w:p>
      <w:r>
        <w:t>中共党史出版社 出版图书：https://www.jiaokey.com/tag/中共党史出版社.html</w:t>
      </w:r>
    </w:p>
    <w:p>
      <w:r>
        <w:t>关键词搜索：https://www.jiaokey.com/tag/海南建省办经济特区20年纪事  1988.4-2008.4.html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