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中南米丘林学术讲习会讲义  遗传选种要义  下</w:t>
      </w:r>
    </w:p>
    <w:p>
      <w:r>
        <w:rPr>
          <w:rFonts w:ascii="宋体" w:hAnsi="宋体" w:eastAsia="宋体"/>
          <w:sz w:val="24"/>
        </w:rPr>
        <w:t>乐天宇主讲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中南米丘林学术讲习会讲义  遗传选种要义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本书出售、求购地址：https://www.jiaokey.com/book/detail/12705741.html</w:t>
      </w:r>
    </w:p>
    <w:p>
      <w:r>
        <w:t>更多相关图书推荐：https://www.jiaokey.com</w:t>
      </w:r>
    </w:p>
    <w:p>
      <w:r>
        <w:t>乐天宇主讲 其他作品：https://www.jiaokey.com/tag/乐天宇主讲.html</w:t>
      </w:r>
    </w:p>
    <w:p>
      <w:r>
        <w:t>中南农业科学研究所 出版图书：https://www.jiaokey.com/tag/中南农业科学研究所.html</w:t>
      </w:r>
    </w:p>
    <w:p>
      <w:r>
        <w:t>关键词搜索：https://www.jiaokey.com/tag/中南米丘林学术讲习会讲义  遗传选种要义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