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西北农学院图书馆  中、日文普通图书编目暂行条例  附图书期刊著者号码编制规则</w:t>
      </w:r>
    </w:p>
    <w:p>
      <w:r>
        <w:rPr>
          <w:rFonts w:ascii="宋体" w:hAnsi="宋体" w:eastAsia="宋体"/>
          <w:sz w:val="24"/>
        </w:rPr>
        <w:t>西北农学院图书馆编目组编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西北农学院图书馆  中、日文普通图书编目暂行条例  附图书期刊著者号码编制规则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西北农学院图书馆编目组编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本书出售、求购地址：https://www.jiaokey.com/book/detail/12701628.html</w:t>
      </w:r>
    </w:p>
    <w:p>
      <w:r>
        <w:t>更多相关图书推荐：https://www.jiaokey.com</w:t>
      </w:r>
    </w:p>
    <w:p>
      <w:r>
        <w:t>西北农学院图书馆编目组编 其他作品：https://www.jiaokey.com/tag/西北农学院图书馆编目组编.html</w:t>
      </w:r>
    </w:p>
    <w:p>
      <w:r>
        <w:t>关键词搜索：https://www.jiaokey.com/tag/西北农学院图书馆  中、日文普通图书编目暂行条例  附图书期刊著者号码编制规则.html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