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天朝礼治体系研究（上卷） 亚洲的华夏秩序 中国与亚洲国家关系形态论</w:t>
      </w:r>
    </w:p>
    <w:p>
      <w:r>
        <w:rPr>
          <w:rFonts w:ascii="宋体" w:hAnsi="宋体" w:eastAsia="宋体"/>
          <w:sz w:val="24"/>
        </w:rPr>
        <w:t>黄枝连著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天朝礼治体系研究（上卷） 亚洲的华夏秩序 中国与亚洲国家关系形态论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黄枝连著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本书出售、求购地址：https://www.jiaokey.com/book/detail/12700261.html</w:t>
      </w:r>
    </w:p>
    <w:p>
      <w:r>
        <w:t>更多相关图书推荐：https://www.jiaokey.com</w:t>
      </w:r>
    </w:p>
    <w:p>
      <w:r>
        <w:t>黄枝连著 其他作品：https://www.jiaokey.com/tag/黄枝连著.html</w:t>
      </w:r>
    </w:p>
    <w:p>
      <w:r>
        <w:t>关键词搜索：https://www.jiaokey.com/tag/天朝礼治体系研究（上卷） 亚洲的华夏秩序 中国与亚洲国家关系形态论.html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