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高校体育教育专业培养目标与课程设置的构建</w:t>
      </w:r>
    </w:p>
    <w:p>
      <w:r>
        <w:rPr>
          <w:rFonts w:ascii="宋体" w:hAnsi="宋体" w:eastAsia="宋体"/>
          <w:sz w:val="24"/>
        </w:rPr>
        <w:t>李忆湘，刘小翔，申伟华主编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高校体育教育专业培养目标与课程设置的构建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李忆湘，刘小翔，申伟华主编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本书出售、求购地址：https://www.jiaokey.com/book/detail/12698430.html</w:t>
      </w:r>
    </w:p>
    <w:p>
      <w:r>
        <w:t>更多相关图书推荐：https://www.jiaokey.com</w:t>
      </w:r>
    </w:p>
    <w:p>
      <w:r>
        <w:t>李忆湘，刘小翔，申伟华主编 其他作品：https://www.jiaokey.com/tag/李忆湘，刘小翔，申伟华主编.html</w:t>
      </w:r>
    </w:p>
    <w:p>
      <w:r>
        <w:t>香港教育出版社 出版图书：https://www.jiaokey.com/tag/香港教育出版社.html</w:t>
      </w:r>
    </w:p>
    <w:p>
      <w:r>
        <w:t>关键词搜索：https://www.jiaokey.com/tag/高校体育教育专业培养目标与课程设置的构建.html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