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透视危机  有效辨识及处理危机的实务指南</w:t>
      </w:r>
    </w:p>
    <w:p>
      <w:r>
        <w:rPr>
          <w:rFonts w:ascii="宋体" w:hAnsi="宋体" w:eastAsia="宋体"/>
          <w:sz w:val="24"/>
        </w:rPr>
        <w:t>贝泽曼，华金斯著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透视危机  有效辨识及处理危机的实务指南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贝泽曼，华金斯著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本书出售、求购地址：https://www.jiaokey.com/book/detail/12698051.html</w:t>
      </w:r>
    </w:p>
    <w:p>
      <w:r>
        <w:t>更多相关图书推荐：https://www.jiaokey.com</w:t>
      </w:r>
    </w:p>
    <w:p>
      <w:r>
        <w:t>贝泽曼，华金斯著 其他作品：https://www.jiaokey.com/tag/贝泽曼，华金斯著.html</w:t>
      </w:r>
    </w:p>
    <w:p>
      <w:r>
        <w:t>中国生产力中心 出版图书：https://www.jiaokey.com/tag/中国生产力中心.html</w:t>
      </w:r>
    </w:p>
    <w:p>
      <w:r>
        <w:t>关键词搜索：https://www.jiaokey.com/tag/透视危机  有效辨识及处理危机的实务指南.html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