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专业教学资料之四  关于乐音的状态及其在手风琴教学中的运用</w:t>
      </w:r>
    </w:p>
    <w:p>
      <w:r>
        <w:rPr>
          <w:rFonts w:ascii="宋体" w:hAnsi="宋体" w:eastAsia="宋体"/>
          <w:sz w:val="24"/>
        </w:rPr>
        <w:t>沈大壮著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专业教学资料之四  关于乐音的状态及其在手风琴教学中的运用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本书出售、求购地址：https://www.jiaokey.com/book/detail/12696418.html</w:t>
      </w:r>
    </w:p>
    <w:p>
      <w:r>
        <w:t>更多相关图书推荐：https://www.jiaokey.com</w:t>
      </w:r>
    </w:p>
    <w:p>
      <w:r>
        <w:t>沈大壮著 其他作品：https://www.jiaokey.com/tag/沈大壮著.html</w:t>
      </w:r>
    </w:p>
    <w:p>
      <w:r>
        <w:t>关键词搜索：https://www.jiaokey.com/tag/专业教学资料之四  关于乐音的状态及其在手风琴教学中的运用.html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