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吉他和弦的构成与应用  吉他和弦系统记忆法</w:t>
      </w:r>
    </w:p>
    <w:p>
      <w:r>
        <w:rPr>
          <w:rFonts w:ascii="宋体" w:hAnsi="宋体" w:eastAsia="宋体"/>
          <w:sz w:val="24"/>
        </w:rPr>
        <w:t>张初雄编译；译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吉他和弦的构成与应用  吉他和弦系统记忆法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张初雄编译；译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本书出售、求购地址：https://www.jiaokey.com/book/detail/12694341.html</w:t>
      </w:r>
    </w:p>
    <w:p>
      <w:r>
        <w:t>更多相关图书推荐：https://www.jiaokey.com</w:t>
      </w:r>
    </w:p>
    <w:p>
      <w:r>
        <w:t>张初雄编译；译 其他作品：https://www.jiaokey.com/tag/张初雄编译；译.html</w:t>
      </w:r>
    </w:p>
    <w:p>
      <w:r>
        <w:t>天同出版社 出版图书：https://www.jiaokey.com/tag/天同出版社.html</w:t>
      </w:r>
    </w:p>
    <w:p>
      <w:r>
        <w:t>关键词搜索：https://www.jiaokey.com/tag/吉他和弦的构成与应用  吉他和弦系统记忆法.html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