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21世纪中小学主题班会设计实例集锦</w:t>
      </w:r>
    </w:p>
    <w:p>
      <w:r>
        <w:rPr>
          <w:rFonts w:ascii="宋体" w:hAnsi="宋体" w:eastAsia="宋体"/>
          <w:sz w:val="24"/>
        </w:rPr>
        <w:t>周俊，周大虎主编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21世纪中小学主题班会设计实例集锦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周俊，周大虎主编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班会-中小学-会计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本书出售、求购地址：https://www.jiaokey.com/book/detail/12694052.html</w:t>
      </w:r>
    </w:p>
    <w:p>
      <w:r>
        <w:t>更多相关图书推荐：https://www.jiaokey.com</w:t>
      </w:r>
    </w:p>
    <w:p>
      <w:r>
        <w:t>周俊，周大虎主编 其他作品：https://www.jiaokey.com/tag/周俊，周大虎主编.html</w:t>
      </w:r>
    </w:p>
    <w:p>
      <w:r>
        <w:t>关键词搜索：https://www.jiaokey.com/tag/班会-中小学-会计.html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