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为什么我不能打人?  跟孩子一起认识暴力</w:t>
      </w:r>
    </w:p>
    <w:p>
      <w:r>
        <w:rPr>
          <w:rFonts w:ascii="宋体" w:hAnsi="宋体" w:eastAsia="宋体"/>
          <w:sz w:val="24"/>
        </w:rPr>
        <w:t>（法）布雷等著；（法）霍德依杰等绘；谢蕙心等译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为什么我不能打人?  跟孩子一起认识暴力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（法）布雷等著；（法）霍德依杰等绘；谢蕙心等译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本书出售、求购地址：https://www.jiaokey.com/book/detail/12692961.html</w:t>
      </w:r>
    </w:p>
    <w:p>
      <w:r>
        <w:t>更多相关图书推荐：https://www.jiaokey.com</w:t>
      </w:r>
    </w:p>
    <w:p>
      <w:r>
        <w:t>（法）布雷等著；（法）霍德依杰等绘；谢蕙心等译 其他作品：https://www.jiaokey.com/tag/（法）布雷等著；（法）霍德依杰等绘；谢蕙心等译.html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关键词搜索：https://www.jiaokey.com/tag/为什么我不能打人?  跟孩子一起认识暴力.html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